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小标宋" w:hAnsi="小标宋" w:eastAsia="小标宋" w:cs="小标宋"/>
          <w:b/>
          <w:bCs/>
          <w:kern w:val="0"/>
          <w:sz w:val="28"/>
          <w:szCs w:val="28"/>
        </w:rPr>
      </w:pPr>
      <w:r>
        <w:rPr>
          <w:rFonts w:hint="eastAsia" w:ascii="小标宋" w:hAnsi="小标宋" w:eastAsia="小标宋" w:cs="小标宋"/>
          <w:b/>
          <w:bCs/>
          <w:kern w:val="0"/>
          <w:sz w:val="28"/>
          <w:szCs w:val="28"/>
        </w:rPr>
        <w:t>暨南大学辅导员工作量化考核表</w:t>
      </w:r>
    </w:p>
    <w:p>
      <w:pPr>
        <w:spacing w:line="240" w:lineRule="auto"/>
        <w:rPr>
          <w:rFonts w:hint="eastAsia" w:ascii="仿宋_GB2312" w:hAnsi="宋体" w:eastAsia="仿宋_GB2312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姓名：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所在院系：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 xml:space="preserve">                </w:t>
      </w:r>
    </w:p>
    <w:tbl>
      <w:tblPr>
        <w:tblStyle w:val="2"/>
        <w:tblW w:w="10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58"/>
        <w:gridCol w:w="6630"/>
        <w:gridCol w:w="735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一级指标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二级指标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评分标准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  <w:t>分值</w:t>
            </w: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思想理论教育和价值引领</w:t>
            </w:r>
          </w:p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思想引领与主题教育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.坚持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深入开展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理想信念、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社会主义核心价值观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和党史学习教育；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及时宣讲党和国家的大政方针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认真开展形势与政策教育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结合传统节庆日、重要时间节点等开展爱国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爱校、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民族团结进步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时代精神等主题教育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掌握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学生思想政治状况及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学生思想行为特点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.及时宣讲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学校有关政策、制度、重要工作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广泛开展谈心谈话、宿舍走访，每学期与学生谈心覆盖面不得少于所带学生数的50%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有针对性地帮助学生处理好思想认识、价值取向、学习生活、择业交友等方面的具体问题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关注学生情况，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掌握学生思想动态，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牢固树立风险防范意识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配合做好学校领导干部深入基层联系学生工作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党团和班级建设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学生党建工作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规范做好学生党员教育管理服务工作，扎实做好学生入党积极分子培养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工作，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各阶段培养记录完整，学生党员发展程序规范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、严格。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学生组织及班团建设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做好学生骨干的遴选、培养、激励工作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指导学生组织开展工作，充分发挥各级学生组织自我教育、自我管理、自我服务的作用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班级与团支部建设有目标、有计划，班风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，班团活动形式新颖、效果显著，所带班团积极参加各级先进集体评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选。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学风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建设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培养专业学习兴趣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熟悉学生所学专业的基本情况，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善于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激发学生专业学习兴趣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引导学生养成良好的大学学习生活习惯，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帮助学生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掌握科学学习方法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加强学习过程管理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落实辅导员听课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、开班会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与走访宿舍制度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建立与任课教师、教学秘书沟通机制，对学业困难学生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各项帮扶措施到位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，积极开展港澳台侨学生学业能力提升计划等工作。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营造浓厚学习氛围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积极开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“引路暨南”学长计划、朋辈分享会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等工作，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做好学生先进典型培育和宣传工作，充分发挥先进典型示范引领作用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营造浓厚学习氛围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；常态化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开展学风建设调研和分析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、诚信教育工作。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日常事务管理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专题教育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认真组织迎新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和新生入学教育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工作，积极开展军训工作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、新生训练营工作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，各项工作有序进行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加强毕业生离校期间学生管理，积极开展毕业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生主题教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育活动，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教育引导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文明离校。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资助工作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加强学生感恩教育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细致全面开展资助工作，公平公正公开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地开展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家庭经济困难学生认定工作，无违规行为发生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认真做好助学贷款、各类助学金、困难补助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发放和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勤工助学工作，准确及时掌握家庭经济困难学生的家庭经济基本情况和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突发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情况，情况严重者及时进行帮扶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评奖评优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认真组织开展奖学金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、学生荣誉称号、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5A卓越引领计划、先进班集体等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工作，公平公正公开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地开展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各类评奖评优，程序规范，无徇私舞弊行为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日常管理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扎实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学生教育管理工作，及时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违纪学生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并配合开展违纪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处理，程序规范，操作得当，材料完备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重视宿舍文化建设，定期进行宿舍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检查，引导学生构建良好的学习生活环境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心理健康教育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心理健康教育宣传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积极参加心理健康教育工作相关培训，提高心理辅导技能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积极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心理健康教育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主题活动，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学生参与度高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心理问题排查和疏导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积极配合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健康教育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中心做好各项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心理测评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和访谈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关注学生心理状况，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做好重点学生的关心关爱工作；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针对心理危机事件，做好心理危机疏导、转介、记录及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善后等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每月按时报送重点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名单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和工作台账。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网络思想政治教育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构建网络思政阵地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注重运用网络等现代科学技术手段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，积极做好暨南易班的运维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，提高工作的针对性、实效性，增强吸引力和感染力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加强网络素养教育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提升学生网络素养，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引导学生在网上自我教育、自我约束、自我保护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引导学生创作网络文化作品，弘扬主旋律，传播正能量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拓展网络思政路径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通过微信、微博、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视频号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等网络平台主动发布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与学生思想教育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内容，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拓宽学生教育的路径。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危机事件应对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安全教育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熟悉学校安全稳定工作的相关规定、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工作要求，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经常性开展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防诈骗、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防火、防盗、交通事故、疾病预防等安全教育；对校园贷等非法贷款和诈骗活动进行防范宣传，提高学生防骗能力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危机事件处理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熟悉学校应对和处理各类突发事件的预案，及时到位并妥善处置学生突发事件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特殊节点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的安全与稳定工作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做好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预先防范，及时有效地化解和处置有关矛盾和问题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职业规划与就业创业指导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职业规划教育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根据学生发展阶段，开展职业规划教育，帮助学生树立正确的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念。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就业创业指导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有针对性地开展就业、创业指导主题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导毕业生到基层、到西部、到祖国最需要的地方建功立业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做好毕业生就业管理服务，确保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信息管理和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报送准确及时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为学生提供高效优质的就业信息服务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理论与实践研究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参加培训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.积极参加校内外培训，主动学习高等教育学、心理学知识等相关业务知识。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理论研究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注重工作总结，凝练理论成果，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积极撰写学生工作案例，申报学生事务精品项目和思政课题等。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1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工作业绩与特色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工作业绩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.个人或指导学生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获评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学生工作相关的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各类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荣誉。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1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工作亮点与特色</w:t>
            </w:r>
          </w:p>
        </w:tc>
        <w:tc>
          <w:tcPr>
            <w:tcW w:w="6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亮点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特色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，形成可复制、可推广的工作模式或经验并进行推广。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总分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</w:tbl>
    <w:p>
      <w:pPr>
        <w:snapToGrid w:val="0"/>
        <w:spacing w:line="300" w:lineRule="exact"/>
        <w:rPr>
          <w:rFonts w:hint="eastAsia" w:ascii="仿宋_GB2312" w:hAnsi="宋体" w:eastAsia="仿宋_GB2312"/>
          <w:b w:val="0"/>
          <w:bCs w:val="0"/>
          <w:sz w:val="22"/>
          <w:szCs w:val="22"/>
          <w:lang w:eastAsia="zh-CN"/>
        </w:rPr>
      </w:pPr>
      <w:r>
        <w:rPr>
          <w:rFonts w:ascii="仿宋_GB2312" w:eastAsia="仿宋_GB2312"/>
          <w:b/>
          <w:bCs/>
          <w:sz w:val="22"/>
          <w:szCs w:val="22"/>
        </w:rPr>
        <w:t>说明</w:t>
      </w:r>
      <w:r>
        <w:rPr>
          <w:rFonts w:ascii="仿宋_GB2312" w:eastAsia="仿宋_GB2312"/>
          <w:sz w:val="22"/>
          <w:szCs w:val="22"/>
        </w:rPr>
        <w:t>：各项得分之和为本表量化得分</w:t>
      </w:r>
      <w:r>
        <w:rPr>
          <w:rFonts w:hint="eastAsia" w:ascii="仿宋_GB2312" w:eastAsia="仿宋_GB2312"/>
          <w:sz w:val="22"/>
          <w:szCs w:val="22"/>
          <w:lang w:eastAsia="zh-CN"/>
        </w:rPr>
        <w:t>，</w:t>
      </w:r>
      <w:r>
        <w:rPr>
          <w:rFonts w:ascii="仿宋_GB2312" w:hAnsi="宋体" w:eastAsia="仿宋_GB2312"/>
          <w:b w:val="0"/>
          <w:bCs w:val="0"/>
          <w:sz w:val="22"/>
          <w:szCs w:val="22"/>
        </w:rPr>
        <w:t>请在对应的方框内</w:t>
      </w:r>
      <w:r>
        <w:rPr>
          <w:rFonts w:hint="eastAsia" w:ascii="仿宋_GB2312" w:hAnsi="宋体" w:eastAsia="仿宋_GB2312"/>
          <w:b w:val="0"/>
          <w:bCs w:val="0"/>
          <w:sz w:val="22"/>
          <w:szCs w:val="22"/>
          <w:lang w:eastAsia="zh-CN"/>
        </w:rPr>
        <w:t>填写分数。原则上，A（优秀）等级综合得分不低于90分，B（称职）等级综合得分不低于70分，C（基本称职）等级综合得分不低于60分，D（不称职）等级综合得分不足60分。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Y0ZWMzYzM4MjlkN2JlYzdmMDUxNmYwOGE5MDYifQ=="/>
  </w:docVars>
  <w:rsids>
    <w:rsidRoot w:val="4B8C3003"/>
    <w:rsid w:val="02352F1F"/>
    <w:rsid w:val="02624029"/>
    <w:rsid w:val="047F45DF"/>
    <w:rsid w:val="102672D1"/>
    <w:rsid w:val="14A81CB5"/>
    <w:rsid w:val="18806BE4"/>
    <w:rsid w:val="242A6A9E"/>
    <w:rsid w:val="244A3259"/>
    <w:rsid w:val="27B07CDC"/>
    <w:rsid w:val="3A3A7B8C"/>
    <w:rsid w:val="3AC61EEC"/>
    <w:rsid w:val="408768BC"/>
    <w:rsid w:val="429513FF"/>
    <w:rsid w:val="44504E81"/>
    <w:rsid w:val="45157513"/>
    <w:rsid w:val="4A623256"/>
    <w:rsid w:val="4B8C3003"/>
    <w:rsid w:val="583550AF"/>
    <w:rsid w:val="5AAD748C"/>
    <w:rsid w:val="5FA91A3E"/>
    <w:rsid w:val="63C0531D"/>
    <w:rsid w:val="7A705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2021-11-09T03:51:00Z</dcterms:created>
  <dc:creator>夕</dc:creator>
  <cp:lastModifiedBy>凌慧</cp:lastModifiedBy>
  <cp:lastPrinted>2021-11-10T01:51:00Z</cp:lastPrinted>
  <dcterms:modified xsi:type="dcterms:W3CDTF">2023-11-22T02:01:57Z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959AB72910834C46A3AF329368DE1C47</vt:lpwstr>
  </property>
</Properties>
</file>