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color w:val="auto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6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6"/>
          <w:lang w:val="en-US" w:eastAsia="zh-CN"/>
        </w:rPr>
        <w:t>1</w:t>
      </w:r>
    </w:p>
    <w:p>
      <w:pPr>
        <w:jc w:val="center"/>
        <w:rPr>
          <w:rFonts w:hint="eastAsia" w:ascii="小标宋" w:hAnsi="小标宋" w:eastAsia="小标宋" w:cs="小标宋"/>
          <w:b/>
          <w:color w:val="auto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/>
          <w:color w:val="auto"/>
          <w:sz w:val="44"/>
          <w:szCs w:val="44"/>
          <w:lang w:val="en-US" w:eastAsia="zh-CN"/>
        </w:rPr>
        <w:t>各学院（组织）名额分配表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5377"/>
        <w:gridCol w:w="2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院(组 织)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四海书院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公共管理学院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/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应急管理学院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法学院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/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知识产权学院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国际关系学院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/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华侨华人研究院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信息科学技术学院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/ 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网络空间安全学院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生命科学技术学院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华文学院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光子技术研究院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经济与社会研究院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暨南大学伯明翰大学联合学院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力学与建筑工程学院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基础医学与公共卫生学院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中医学院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1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学代会常委会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校学生会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</w:tbl>
    <w:p>
      <w:pPr>
        <w:jc w:val="both"/>
        <w:rPr>
          <w:rFonts w:hint="eastAsia" w:ascii="华文中宋" w:hAnsi="华文中宋" w:eastAsia="华文中宋" w:cs="Times New Roman"/>
          <w:b/>
          <w:color w:val="auto"/>
          <w:sz w:val="32"/>
          <w:szCs w:val="36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6"/>
          <w:lang w:eastAsia="zh-CN"/>
        </w:rPr>
        <w:t>备注：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6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6"/>
          <w:lang w:eastAsia="zh-CN"/>
        </w:rPr>
        <w:t>各学院推荐的学生骨干需有1-2名为港澳台侨学生；</w:t>
      </w:r>
    </w:p>
    <w:p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6"/>
          <w:lang w:val="en-US" w:eastAsia="zh-CN"/>
        </w:rPr>
        <w:t>2.学代会常委会、校学生会学生骨干由学生处推荐。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7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2021-11-29T03:59:46Z</dcterms:created>
  <dc:creator>Administrator</dc:creator>
  <cp:lastModifiedBy>Administrator</cp:lastModifiedBy>
  <dcterms:modified xsi:type="dcterms:W3CDTF">2021-11-29T03:59:50Z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E00462D1EB274728B141E445AB3A3E7B</vt:lpwstr>
  </property>
</Properties>
</file>