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AF2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附件</w:t>
      </w:r>
    </w:p>
    <w:p w14:paraId="0AC10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小标宋" w:hAnsi="小标宋" w:eastAsia="小标宋" w:cs="小标宋"/>
          <w:i w:val="0"/>
          <w:iCs w:val="0"/>
          <w:caps w:val="0"/>
          <w:color w:val="auto"/>
          <w:spacing w:val="0"/>
          <w:sz w:val="40"/>
          <w:szCs w:val="40"/>
          <w:shd w:val="clear" w:color="auto" w:fill="FFFFFF"/>
          <w:lang w:val="en-US" w:eastAsia="zh-CN"/>
        </w:rPr>
        <w:t>暨南大学2024年高校思想政治工作优秀案例评审拟获奖名单</w:t>
      </w:r>
    </w:p>
    <w:tbl>
      <w:tblPr>
        <w:tblStyle w:val="2"/>
        <w:tblpPr w:leftFromText="180" w:rightFromText="180" w:vertAnchor="text" w:horzAnchor="page" w:tblpX="835" w:tblpY="716"/>
        <w:tblOverlap w:val="never"/>
        <w:tblW w:w="15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184"/>
        <w:gridCol w:w="1783"/>
        <w:gridCol w:w="5817"/>
        <w:gridCol w:w="1883"/>
        <w:gridCol w:w="1883"/>
      </w:tblGrid>
      <w:tr w14:paraId="290E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A6A2">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9FDB">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9A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作者</w:t>
            </w:r>
          </w:p>
        </w:tc>
        <w:tc>
          <w:tcPr>
            <w:tcW w:w="5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A95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案例标题</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AEE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拟校内获奖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5518">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00FB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B9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90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暨南大学伯明翰大学联合学院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7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张羽</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6A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打赢母女幸福保卫战——多措并举呵护“心”健康</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BC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DA4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6AF8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9C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9B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经济学院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F4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苏柯、林俊城、林映月</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B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破茧成蝶：生态系统理论助力大学生适应困境</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A2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9D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4765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9C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8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国际商学院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A3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尹港港、王佩佩、何佳英</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36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重生之路：“多方联动”寻找生命的意义——基于积极心理学视角的危机应对案例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5D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F2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4828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86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0A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四海书院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CC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幺孟颖</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5B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加减“爱的砝码”，扶正“爱的天平”——恋爱关系引起的心理危机干预案例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7C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EA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4D03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A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32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经济学院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B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成品兴、刘慧婷、程娅敏</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2F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经济学科特色育人共同体的构建</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——“一元主导，三维互动”经济学科拔尖创新人才协同育人工程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608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0D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5AE5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98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72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包装工程学院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D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杨春白雪</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BB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一例大学生强迫思维干预的个案分析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6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C9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1AED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1E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2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口腔医学院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1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许丹丹、王艺霖</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97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深入探索“一轴两级六链”劳动育人实践，扎实推进“五育并举”走深走实</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5A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5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0B57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AF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42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番禺校区学工办</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D1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周悦童、薛咏、梁咏琪</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6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面向港澳台侨学生的易班网络思政育人模式探索与实践</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422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E8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394F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2F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1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国际商学院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1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周建、尹港港、赖玉丽</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59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“三全育人”理论引领下的实践探索：一位维吾尔族特殊困难学生的勇敢攀登</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AC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C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7BE4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BC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10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E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国际商学院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D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赖玉丽、徐岗、尹港港</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4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《从个体雕琢到群体塑造的进阶式培育范式探索----以暨南大学国际商学院学生培养为例》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8B5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22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2104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4BA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7D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四海书院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83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林泽漫、温文华</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7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为何拒认明显错误？ ——新手辅导员应对学生冲突的方法与反思</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7C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DF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6496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20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F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华文学院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CB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李梓颖</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9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危机干预展智勇，情绪调节筑心桥——高校辅导员在急性应激情绪障碍中的干预策略</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0F9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FE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5DC7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8E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09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党委研究生工作部</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81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周楠楠，惠清明</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4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构建“1234”实践育人工作体系，赋能研究生骨干培养质量提升</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——暨南大学研究生骨干领航计划项目的实践探索与启示</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CA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AA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51FC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6B6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14</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94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化学与材料学院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3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陈晓玲、王锋</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B1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双相</w:t>
            </w:r>
            <w:r>
              <w:rPr>
                <w:rFonts w:hint="default" w:ascii="仿宋_GB2312" w:hAnsi="宋体" w:eastAsia="仿宋_GB2312" w:cs="仿宋_GB2312"/>
                <w:i w:val="0"/>
                <w:iCs w:val="0"/>
                <w:color w:val="000000"/>
                <w:kern w:val="0"/>
                <w:sz w:val="21"/>
                <w:szCs w:val="21"/>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迷雾中的青春导航</w:t>
            </w:r>
            <w:r>
              <w:rPr>
                <w:rFonts w:hint="default" w:ascii="仿宋_GB2312" w:hAnsi="宋体" w:eastAsia="仿宋_GB2312" w:cs="仿宋_GB2312"/>
                <w:i w:val="0"/>
                <w:iCs w:val="0"/>
                <w:color w:val="000000"/>
                <w:kern w:val="0"/>
                <w:sz w:val="21"/>
                <w:szCs w:val="21"/>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辅导员心理健康工作案例深度剖析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A7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70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7B20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A3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76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华文学院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1E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李洋、李莹</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54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融、育、新：新时代伟大变革融入粤港澳大湾区高校港澳台侨学生 “大思政”教育的案例分析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B3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2D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2273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044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0A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体育学院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5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李钰莹</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74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法不容情，法应有情——重点关注学生违纪处理中的“法”与“情”</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6A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83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15AD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EF8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17</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07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新闻与传播学院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5E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杨淑婷、张建敏</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E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《走出迷茫的“黑匣子”》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E5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D7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1067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AF8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C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深圳校区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8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郑颖</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80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“对不起”被说出来之后——心理赋能在资助育人场景中的应用</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78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B2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7FA8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F54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19</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0A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力学与建筑工程学院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50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薄冬营、韩圳邑、操锦</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F7B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乡村振兴战略下高校大学生专业背景与“三下乡”社会实践育人功能的融合优化研究</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——以J大学L学院建筑学专业为例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7E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07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6179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0F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3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华文学院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6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刘怡</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C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以心架桥——一例外招学生的适应帮扶案例分析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6F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67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7A0A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53C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6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新闻与传播学院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CC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张建敏、刘苏丽、王冬生</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C4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新闻传播专业“三四五”创新创业人才培养模式的探索与实践</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B0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D5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581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9C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E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物理与光电工程学院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B4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幸江涛、孟辉、黎晋良</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F0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思想铸魂，科技育人，积极培养优秀物理创新人才</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A7F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CA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1A42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505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5E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外国语学院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53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张未然</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EC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走出认知困境——一例因专业不认同引发的考前焦虑学生心理教育案例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26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83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1161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9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24</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CE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管理学院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E2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肖佩云、王禹婷</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A8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创新育人实践体系，赋能学生成长成才</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37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92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5C34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F92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25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5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国际商学院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29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吴玉美、孟朗、谭洁</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E0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爱铺通途，破解“被害妄想” 困局——“思政+心理”育人模式探究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17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89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25AA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667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26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DF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法学院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84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李勇标、李志、汪雯佳</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BB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“三全育人”视阈下法学生“慢就业”现象探析——高校辅导员就业帮扶工作案例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0C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B3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0479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EAF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27</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7D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新闻与传播学院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D0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吕玲、张建敏</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18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《学生支部党建育人新范式》</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4B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7B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02CD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C4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28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9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物理与光电工程学院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7E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马悦、曾庆慧、孙玉环</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6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朋辈引领“微光闪暨南”，协同育人共绘同心圆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——暨南大学光电工程系“微光闪暨南”学习互助计划案例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65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A6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3AE3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953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29</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CC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新闻与传播学院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07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刘苏丽、张建敏、谭蔓琳</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9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竞赛引领创新：构建高校思政工作1234N竞赛育人全景模式</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04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6F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01C3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44C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30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A1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外国语学院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9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王若涵</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A9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网络迷雾中的法律陷阱——一起学生因网络约爱遭遇诈骗案例的反思</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70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3E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6BDE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8D5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31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72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学生处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8A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蔡志莹</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33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从“大水漫灌”到“精准滴灌”以做好新生学生干部 “拔节孕穗期”为例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0AB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B6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68DF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63D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lang w:val="en-US" w:eastAsia="zh-CN"/>
              </w:rPr>
              <w:t>32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B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国际商学院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5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谭洁、吴玉美、孟朗</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29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“匿名” 栅栏质疑引舆情，网络思政工作育新机——新时期网络思政育人探索</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AC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6D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5632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3822">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lang w:val="en-US" w:eastAsia="zh-CN"/>
              </w:rPr>
              <w:t>33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65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华文学院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8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程昕怡、李莹</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0F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关怀学生，倾听理解，全面跟进——双相情感障碍学生案例的处理</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63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DE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008D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DC76">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lang w:val="en-US" w:eastAsia="zh-CN"/>
              </w:rPr>
              <w:t>34</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A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国际商学院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CC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孟朗、谭洁、吴玉美</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55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以赛促学提升实践能力，多方协作锻炼综合素质——以暨南大学国际商学院商业精英挑战赛为例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6B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82A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3AA3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A39E">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D7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华文学院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E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叶茜茜、贺芝榕</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F7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心理之花开满留学路——记一例留学生的心理帮扶案例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B9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C7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5350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8757">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57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中医学院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1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罗莎莎、张志超、张景雯</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25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网格化日常管理定位“消失的他”--以一名大学生境外“失联”为例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0C6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0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61FB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75D5">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B1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外国语学院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27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沈佳</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E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因学生恋爱关系引起的网络舆情处理</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91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C6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39C3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EAE">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EBB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华文学院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75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谢文海、李莹</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2B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关于原生家庭对学生心理问题的影响分析——以非婚生子女为例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17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74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56DF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81AB">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lang w:val="en-US" w:eastAsia="zh-CN"/>
              </w:rPr>
              <w:t>39</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70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外国语学院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94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李鹏</w:t>
            </w:r>
          </w:p>
        </w:tc>
        <w:tc>
          <w:tcPr>
            <w:tcW w:w="5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80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课程推动，榜样引领：党建+思政引领融入就业指导工作的实践案例</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01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优秀奖</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A5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bl>
    <w:p w14:paraId="5D4143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黑体" w:cs="黑体"/>
          <w:i w:val="0"/>
          <w:iCs w:val="0"/>
          <w:caps w:val="0"/>
          <w:color w:val="auto"/>
          <w:spacing w:val="0"/>
          <w:sz w:val="32"/>
          <w:szCs w:val="32"/>
          <w:shd w:val="clear" w:color="auto" w:fill="FFFFFF"/>
          <w:lang w:val="en-US" w:eastAsia="zh-CN"/>
        </w:rPr>
      </w:pPr>
    </w:p>
    <w:p w14:paraId="194F74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14:paraId="054446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1580C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i w:val="0"/>
          <w:iCs w:val="0"/>
          <w:caps w:val="0"/>
          <w:color w:val="auto"/>
          <w:spacing w:val="0"/>
          <w:sz w:val="32"/>
          <w:szCs w:val="32"/>
          <w:shd w:val="clear" w:color="auto" w:fill="FFFFFF"/>
          <w:lang w:val="en-US" w:eastAsia="zh-CN"/>
        </w:rPr>
      </w:pPr>
    </w:p>
    <w:p w14:paraId="2E239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i w:val="0"/>
          <w:iCs w:val="0"/>
          <w:caps w:val="0"/>
          <w:color w:val="auto"/>
          <w:spacing w:val="0"/>
          <w:sz w:val="40"/>
          <w:szCs w:val="40"/>
          <w:shd w:val="clear" w:color="auto" w:fill="FFFFFF"/>
          <w:lang w:val="en-US" w:eastAsia="zh-CN"/>
        </w:rPr>
      </w:pPr>
      <w:r>
        <w:rPr>
          <w:rFonts w:hint="eastAsia" w:ascii="小标宋" w:hAnsi="小标宋" w:eastAsia="小标宋" w:cs="小标宋"/>
          <w:i w:val="0"/>
          <w:iCs w:val="0"/>
          <w:caps w:val="0"/>
          <w:color w:val="auto"/>
          <w:spacing w:val="0"/>
          <w:sz w:val="40"/>
          <w:szCs w:val="40"/>
          <w:shd w:val="clear" w:color="auto" w:fill="FFFFFF"/>
          <w:lang w:val="en-US" w:eastAsia="zh-CN"/>
        </w:rPr>
        <w:t>暨南大学2024年高校思想政治工作优秀论文</w:t>
      </w:r>
      <w:bookmarkStart w:id="0" w:name="_GoBack"/>
      <w:bookmarkEnd w:id="0"/>
      <w:r>
        <w:rPr>
          <w:rFonts w:hint="eastAsia" w:ascii="小标宋" w:hAnsi="小标宋" w:eastAsia="小标宋" w:cs="小标宋"/>
          <w:i w:val="0"/>
          <w:iCs w:val="0"/>
          <w:caps w:val="0"/>
          <w:color w:val="auto"/>
          <w:spacing w:val="0"/>
          <w:sz w:val="40"/>
          <w:szCs w:val="40"/>
          <w:shd w:val="clear" w:color="auto" w:fill="FFFFFF"/>
          <w:lang w:val="en-US" w:eastAsia="zh-CN"/>
        </w:rPr>
        <w:t>评审拟获奖名单</w:t>
      </w:r>
    </w:p>
    <w:tbl>
      <w:tblPr>
        <w:tblStyle w:val="2"/>
        <w:tblpPr w:leftFromText="180" w:rightFromText="180" w:vertAnchor="text" w:horzAnchor="page" w:tblpX="849" w:tblpY="624"/>
        <w:tblOverlap w:val="never"/>
        <w:tblW w:w="15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3210"/>
        <w:gridCol w:w="1755"/>
        <w:gridCol w:w="5790"/>
        <w:gridCol w:w="1890"/>
        <w:gridCol w:w="1890"/>
      </w:tblGrid>
      <w:tr w14:paraId="7BC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74DC">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4E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28E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作者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E03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论文标题</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115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拟校内等级</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C2CE">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14:paraId="2E36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BB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D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口腔医学院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EC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许丹丹、黄子晋</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B4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“势”、“道”、“术”：中国共产党坚持独立自主的时代论域</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9C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7E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3701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D8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C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四海书院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2D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王索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E1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高校港澳台新生适应性障碍的早期识别与干预策略研究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76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F9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567C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95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9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生命科学技术学院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D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彭镇聪、李榕、许佩</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C3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“盲盒热”下的“冷思考”：青年“盲盒热”的诱因分析、符号批判与纾解路径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F0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15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60C6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4E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58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四海书院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4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冯静静、邓双全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F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港澳台侨学生“一核四元五育”同心圆育人模式的创新与实践</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6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3A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7F06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3A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学生社区教育管理中心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6F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谭子君 范雅妮 周树杰</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E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自我分类理论视域下内地学生与港澳台侨学生同向融合的高校住宿管理研究——以暨南大学为例</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0E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8B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75EF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4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1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学生处</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D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罗钻娣</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90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把握新时代侨校辅导员队伍建设的“事”“时”“势”</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58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18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19B5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6B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B5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学生处</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46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陈馨儿、牛若曦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8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党的二十大以来高校网络思想政治教育研究的热点与趋势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——基于CiteSpace的文献计量与可视化分析</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8E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31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62EB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7E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9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学生社区教育管理中心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CC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吴涵、彭德镔、刘昊</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B5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新质生产力视域下高质量建设“一站式”学生社区的着力点探析</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A2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88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3D45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F2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E6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学生社区教育管理中心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F1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朱昭霖、马强、牛若曦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3E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高校“一站式”学生社区综合管理模式下育人功能探究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——以暨南大学楼栋长、楼层长骨干培养为例</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A6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7D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359D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1C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D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信息科学技术学院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F5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赵吉航、张艳丽、江秀海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0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新时代高等学校劳动教育的问题探究及路径优化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6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0B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65EB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0E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FA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国际商学院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32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郭力立、汪思源、黄颂宜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53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高校学生宿舍同伴排斥调查和干预研究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5D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06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13D4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F5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12</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85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物理与光电工程学院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69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曾庆慧</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4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高校网络思政教育守正与创新的平衡策略</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73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BE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p w14:paraId="62CB52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（以广东高校辅导员工作室主持人申报）</w:t>
            </w:r>
          </w:p>
        </w:tc>
      </w:tr>
      <w:tr w14:paraId="1D33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4E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13</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E8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学生社区教育管理中心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61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谢浩亮、牛若曦、刘昊</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91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文化适应与社会融合理论视域下混合住宿影响因子与提升路径实证研究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9D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三等奖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77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301B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AC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3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法学院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0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陈维荣、李志、汪雯佳</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62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《维护国家安全条例》推进香港统战工作的逻辑理路与实践进路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68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43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3B02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97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5B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港澳台侨学生培养办公室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2B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陈盼盼、薛宇君、吴涵</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2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跨境学生学习与发展质量评估体系：指标构建与实证分析</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1D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3D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61BA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37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16</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4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国际商学院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E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徐岗、尹港港、孟朗、吕映含、赖玉丽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40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新时代广东高校港澳台侨学生助力“百千万工程”路径探析</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5C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4D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拟推荐至省里</w:t>
            </w:r>
          </w:p>
        </w:tc>
      </w:tr>
      <w:tr w14:paraId="0C00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A8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17</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3C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物理与光电工程学院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22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张伟、黄才欢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B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《大学生职业发展与就业指导》课程思政教学探究与实践</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——以暨南大学食品专业为例</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CD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5F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7FA4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D1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18</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A5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外国语学院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5D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王若涵</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9A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融合与创新：新时代外语专业院校港澳台侨学生思政教育新路径探析</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59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41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7216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F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19</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C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珠海校区学工办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20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于保山</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D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港澳台侨学生职业能力培养创新与实践研究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——以暨南大学珠海校区为例</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43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3C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7A50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76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20</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22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港澳台侨学生管理办公室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F7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林嘉玲、陈晓玲</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E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融媒体视角下高校网络思政工作的路径研究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FC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74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126B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04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A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华文学院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5D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刘潇潇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B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“以文育人”思政工作模式在高校第二课堂开展的研究与实践</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E6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C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4E00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BF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EC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国际能源学院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87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文李黠</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F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讲好中国教育家故事，大力弘扬教育家精神</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28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优秀奖</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16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bl>
    <w:p w14:paraId="2D5AF669">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仿宋_GB2312" w:hAnsi="仿宋_GB2312" w:eastAsia="仿宋_GB2312" w:cs="仿宋_GB2312"/>
          <w:i w:val="0"/>
          <w:iCs w:val="0"/>
          <w:caps w:val="0"/>
          <w:color w:val="171717"/>
          <w:spacing w:val="0"/>
          <w:kern w:val="0"/>
          <w:sz w:val="32"/>
          <w:szCs w:val="32"/>
          <w:u w:val="none"/>
          <w:lang w:val="en-US" w:eastAsia="zh-Hans" w:bidi="ar"/>
        </w:rPr>
        <w:sectPr>
          <w:pgSz w:w="16838" w:h="11906" w:orient="landscape"/>
          <w:pgMar w:top="1633" w:right="1440" w:bottom="1633" w:left="1440" w:header="851" w:footer="992" w:gutter="0"/>
          <w:cols w:space="0" w:num="1"/>
          <w:rtlGutter w:val="0"/>
          <w:docGrid w:type="lines" w:linePitch="312" w:charSpace="0"/>
        </w:sectPr>
      </w:pPr>
    </w:p>
    <w:p w14:paraId="16E3CEB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MjNlYzE3Zjk5ZmI4Y2FmNTAxMWQ5ZmEzNWRjOTYifQ=="/>
  </w:docVars>
  <w:rsids>
    <w:rsidRoot w:val="4D9A5191"/>
    <w:rsid w:val="0094457F"/>
    <w:rsid w:val="05E41A4E"/>
    <w:rsid w:val="072A7934"/>
    <w:rsid w:val="0D1674D8"/>
    <w:rsid w:val="0E211C32"/>
    <w:rsid w:val="10F66AD9"/>
    <w:rsid w:val="17711974"/>
    <w:rsid w:val="1E9845F0"/>
    <w:rsid w:val="1F306405"/>
    <w:rsid w:val="2E206B20"/>
    <w:rsid w:val="417306BF"/>
    <w:rsid w:val="45CE5353"/>
    <w:rsid w:val="478471FB"/>
    <w:rsid w:val="4D9A5191"/>
    <w:rsid w:val="536A21B6"/>
    <w:rsid w:val="5738017F"/>
    <w:rsid w:val="5D3533D1"/>
    <w:rsid w:val="69D22DF1"/>
    <w:rsid w:val="6E281123"/>
    <w:rsid w:val="725B7135"/>
    <w:rsid w:val="7ABB61FF"/>
    <w:rsid w:val="7C212519"/>
    <w:rsid w:val="7F6A5512"/>
    <w:rsid w:val="7FC8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仿宋_GB2312" w:eastAsia="仿宋_GB2312" w:cs="仿宋_GB2312"/>
      <w:color w:val="000000"/>
      <w:sz w:val="36"/>
      <w:szCs w:val="36"/>
      <w:u w:val="none"/>
    </w:rPr>
  </w:style>
  <w:style w:type="character" w:customStyle="1" w:styleId="5">
    <w:name w:val="font91"/>
    <w:basedOn w:val="3"/>
    <w:autoRedefine/>
    <w:qFormat/>
    <w:uiPriority w:val="0"/>
    <w:rPr>
      <w:rFonts w:hint="eastAsia" w:ascii="宋体" w:hAnsi="宋体" w:eastAsia="宋体" w:cs="宋体"/>
      <w:color w:val="000000"/>
      <w:sz w:val="36"/>
      <w:szCs w:val="36"/>
      <w:u w:val="none"/>
    </w:rPr>
  </w:style>
  <w:style w:type="character" w:customStyle="1" w:styleId="6">
    <w:name w:val="font31"/>
    <w:basedOn w:val="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3118</Words>
  <Characters>3186</Characters>
  <Lines>0</Lines>
  <Paragraphs>0</Paragraphs>
  <TotalTime>7</TotalTime>
  <ScaleCrop>false</ScaleCrop>
  <LinksUpToDate>false</LinksUpToDate>
  <CharactersWithSpaces>3193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2024-04-07T03:10:00Z</dcterms:created>
  <dc:creator>czy</dc:creator>
  <cp:lastModifiedBy>czy</cp:lastModifiedBy>
  <dcterms:modified xsi:type="dcterms:W3CDTF">2024-12-12T08:40:24Z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CA973A2B31BB4AB6AA392D5C0683FC83_13</vt:lpwstr>
  </property>
</Properties>
</file>