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val="0"/>
        <w:overflowPunct/>
        <w:topLinePunct w:val="0"/>
        <w:autoSpaceDE/>
        <w:autoSpaceDN/>
        <w:bidi w:val="0"/>
        <w:adjustRightInd/>
        <w:snapToGrid/>
        <w:jc w:val="center"/>
        <w:textAlignment w:val="auto"/>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sz w:val="32"/>
          <w:szCs w:val="32"/>
          <w:lang w:val="en-US" w:eastAsia="zh-CN"/>
        </w:rPr>
        <w:t>学生安全教育主题班会参考资源</w:t>
      </w:r>
    </w:p>
    <w:p>
      <w:pPr>
        <w:keepNext w:val="0"/>
        <w:keepLines w:val="0"/>
        <w:pageBreakBefore w:val="0"/>
        <w:widowControl w:val="0"/>
        <w:numPr>
          <w:ilvl w:val="0"/>
          <w:numId w:val="0"/>
        </w:numPr>
        <w:kinsoku/>
        <w:wordWrap w:val="0"/>
        <w:overflowPunct/>
        <w:topLinePunct w:val="0"/>
        <w:autoSpaceDE/>
        <w:autoSpaceDN/>
        <w:bidi w:val="0"/>
        <w:adjustRightInd/>
        <w:snapToGrid/>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kern w:val="2"/>
          <w:sz w:val="28"/>
          <w:szCs w:val="28"/>
          <w:lang w:val="en-US" w:eastAsia="zh-CN" w:bidi="ar-SA"/>
        </w:rPr>
        <w:t>一、</w:t>
      </w:r>
      <w:r>
        <w:rPr>
          <w:rFonts w:hint="eastAsia" w:ascii="仿宋_GB2312" w:hAnsi="仿宋_GB2312" w:eastAsia="仿宋_GB2312" w:cs="仿宋_GB2312"/>
          <w:b/>
          <w:bCs/>
          <w:sz w:val="28"/>
          <w:szCs w:val="28"/>
          <w:lang w:val="en-US" w:eastAsia="zh-CN"/>
        </w:rPr>
        <w:t>国家安全教育</w:t>
      </w:r>
      <w:r>
        <w:rPr>
          <w:rFonts w:hint="eastAsia" w:ascii="仿宋_GB2312" w:hAnsi="仿宋_GB2312" w:eastAsia="仿宋_GB2312" w:cs="仿宋_GB2312"/>
          <w:sz w:val="28"/>
          <w:szCs w:val="28"/>
          <w:lang w:val="en-US" w:eastAsia="zh-CN"/>
        </w:rPr>
        <w:t>（参考链接：</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"https://mp.weixin.qq.com/s/a6_QHQ8FplKqbt3yoo3lsQ" </w:instrText>
      </w:r>
      <w:r>
        <w:rPr>
          <w:rFonts w:hint="eastAsia" w:ascii="仿宋_GB2312" w:hAnsi="仿宋_GB2312" w:eastAsia="仿宋_GB2312" w:cs="仿宋_GB2312"/>
          <w:sz w:val="28"/>
          <w:szCs w:val="28"/>
          <w:lang w:val="en-US" w:eastAsia="zh-CN"/>
        </w:rPr>
        <w:fldChar w:fldCharType="separate"/>
      </w:r>
      <w:r>
        <w:rPr>
          <w:rStyle w:val="5"/>
          <w:rFonts w:hint="eastAsia" w:ascii="仿宋_GB2312" w:hAnsi="仿宋_GB2312" w:eastAsia="仿宋_GB2312" w:cs="仿宋_GB2312"/>
          <w:sz w:val="28"/>
          <w:szCs w:val="28"/>
          <w:lang w:val="en-US" w:eastAsia="zh-CN"/>
        </w:rPr>
        <w:t>https://mp.weixin.qq.com/s/a6_QHQ8FplKqbt3yoo3lsQ</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根据《中华人民共和国国家安全法》第二条规定，国家安全是指国家政权、主权、统一和领土完整、人民福祉、经济社会可持续发展和国家其他重大利益相对处于没有危险和不受内外威胁的状态，以及保障持续安全状态的能力。维护国家安全是全国各族人民根本利益所在，维护国家安全，人人有责，更需人人尽责。其中突出学习宣传国家安全相关法律法规，宣传宪法规定的关于公民维护祖国安全、荣誉和利益的基本义务，宣传国家安全法、反分裂国家法、国防法、反恐怖主义法、反间谍法、数据安全法、生物安全法、网络安全法等，宣传刑法关于危害国家安全犯罪的规定。</w:t>
      </w:r>
    </w:p>
    <w:p>
      <w:pPr>
        <w:keepNext w:val="0"/>
        <w:keepLines w:val="0"/>
        <w:pageBreakBefore w:val="0"/>
        <w:widowControl w:val="0"/>
        <w:numPr>
          <w:ilvl w:val="0"/>
          <w:numId w:val="0"/>
        </w:numPr>
        <w:kinsoku/>
        <w:wordWrap w:val="0"/>
        <w:overflowPunct/>
        <w:topLinePunct w:val="0"/>
        <w:autoSpaceDE/>
        <w:autoSpaceDN/>
        <w:bidi w:val="0"/>
        <w:adjustRightInd/>
        <w:snapToGrid/>
        <w:ind w:firstLine="562" w:firstLineChars="200"/>
        <w:textAlignment w:val="auto"/>
        <w:rPr>
          <w:rFonts w:hint="eastAsia" w:ascii="仿宋_GB2312" w:hAnsi="仿宋_GB2312" w:eastAsia="仿宋_GB2312" w:cs="仿宋_GB2312"/>
          <w:b/>
          <w:bCs/>
          <w:kern w:val="2"/>
          <w:sz w:val="28"/>
          <w:szCs w:val="28"/>
          <w:lang w:val="en-US" w:eastAsia="zh-CN" w:bidi="ar-SA"/>
        </w:rPr>
      </w:pPr>
    </w:p>
    <w:p>
      <w:pPr>
        <w:keepNext w:val="0"/>
        <w:keepLines w:val="0"/>
        <w:pageBreakBefore w:val="0"/>
        <w:widowControl w:val="0"/>
        <w:numPr>
          <w:ilvl w:val="0"/>
          <w:numId w:val="0"/>
        </w:numPr>
        <w:kinsoku/>
        <w:wordWrap w:val="0"/>
        <w:overflowPunct/>
        <w:topLinePunct w:val="0"/>
        <w:autoSpaceDE/>
        <w:autoSpaceDN/>
        <w:bidi w:val="0"/>
        <w:adjustRightInd/>
        <w:snapToGrid/>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kern w:val="2"/>
          <w:sz w:val="28"/>
          <w:szCs w:val="28"/>
          <w:lang w:val="en-US" w:eastAsia="zh-CN" w:bidi="ar-SA"/>
        </w:rPr>
        <w:t>二、</w:t>
      </w:r>
      <w:r>
        <w:rPr>
          <w:rFonts w:hint="eastAsia" w:ascii="仿宋_GB2312" w:hAnsi="仿宋_GB2312" w:eastAsia="仿宋_GB2312" w:cs="仿宋_GB2312"/>
          <w:b/>
          <w:bCs/>
          <w:sz w:val="28"/>
          <w:szCs w:val="28"/>
          <w:lang w:val="en-US" w:eastAsia="zh-CN"/>
        </w:rPr>
        <w:t>防范电信网络诈骗安全教育</w:t>
      </w:r>
      <w:r>
        <w:rPr>
          <w:rFonts w:hint="eastAsia" w:ascii="仿宋_GB2312" w:hAnsi="仿宋_GB2312" w:eastAsia="仿宋_GB2312" w:cs="仿宋_GB2312"/>
          <w:sz w:val="28"/>
          <w:szCs w:val="28"/>
          <w:lang w:val="en-US" w:eastAsia="zh-CN"/>
        </w:rPr>
        <w:t>（参考链接：</w:t>
      </w:r>
      <w:r>
        <w:rPr>
          <w:rStyle w:val="6"/>
          <w:rFonts w:hint="eastAsia" w:ascii="仿宋_GB2312" w:hAnsi="仿宋_GB2312" w:eastAsia="仿宋_GB2312" w:cs="仿宋_GB2312"/>
          <w:sz w:val="28"/>
          <w:szCs w:val="28"/>
          <w:lang w:val="en-US" w:eastAsia="zh-CN"/>
        </w:rPr>
        <w:t>http://www.moe.gov.cn/s78/A12/tongzhi/202308/t20230825_1076059.html</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深入学习宣传贯彻党的二十大精神，深入学习宣传贯彻习近平总书记关于教育强国、网络强国的重要思想，宣传贯彻习近平总书记对做好互联网时代的学校思想政治工作和意识形态工作、网络安全工作“四个坚持”的重要指示精神，广泛开展宣传教育活动。通过组织动员师生广泛参与，大力宣传国家网络安全工作取得的重大成就，深入宣传贯彻《网络安全法》及相关配套法规，加强数据安全和个人信息保护、新技术新应用安全等宣传普及，提升广大师生网络素养、网络安全意识和防护技能，协力营造清朗网络环境。</w:t>
      </w: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hint="eastAsia" w:ascii="仿宋_GB2312" w:hAnsi="仿宋_GB2312" w:eastAsia="仿宋_GB2312" w:cs="仿宋_GB2312"/>
          <w:b/>
          <w:bCs/>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请查收！2023年国家反诈中心《防范电信网络诈骗宣传手册》</w:t>
      </w:r>
      <w:r>
        <w:rPr>
          <w:rStyle w:val="6"/>
          <w:rFonts w:hint="eastAsia" w:ascii="仿宋_GB2312" w:hAnsi="仿宋_GB2312" w:eastAsia="仿宋_GB2312" w:cs="仿宋_GB2312"/>
          <w:b w:val="0"/>
          <w:bCs w:val="0"/>
          <w:kern w:val="2"/>
          <w:sz w:val="28"/>
          <w:szCs w:val="28"/>
          <w:lang w:val="en-US" w:eastAsia="zh-CN" w:bidi="ar-SA"/>
        </w:rPr>
        <w:t>https://mp.weixin.qq.com/s/wd6uBYABw_uaqgG1rbdxtg</w:t>
      </w:r>
    </w:p>
    <w:p>
      <w:pPr>
        <w:rPr>
          <w:rFonts w:hint="eastAsia"/>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kern w:val="2"/>
          <w:sz w:val="28"/>
          <w:szCs w:val="28"/>
          <w:lang w:val="en-US" w:eastAsia="zh-CN" w:bidi="ar-SA"/>
        </w:rPr>
        <w:t>三、</w:t>
      </w:r>
      <w:r>
        <w:rPr>
          <w:rFonts w:hint="eastAsia" w:ascii="仿宋_GB2312" w:hAnsi="仿宋_GB2312" w:eastAsia="仿宋_GB2312" w:cs="仿宋_GB2312"/>
          <w:b/>
          <w:bCs/>
          <w:sz w:val="28"/>
          <w:szCs w:val="28"/>
          <w:lang w:val="en-US" w:eastAsia="zh-CN"/>
        </w:rPr>
        <w:t>电动自行车使用安全教育</w:t>
      </w:r>
      <w:r>
        <w:rPr>
          <w:rFonts w:hint="eastAsia" w:ascii="仿宋_GB2312" w:hAnsi="仿宋_GB2312" w:eastAsia="仿宋_GB2312" w:cs="仿宋_GB2312"/>
          <w:sz w:val="28"/>
          <w:szCs w:val="28"/>
          <w:lang w:val="en-US" w:eastAsia="zh-CN"/>
        </w:rPr>
        <w:t>（参考链接：</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"https://mp.weixin.qq.com/s/UzEcr0e82F_Bpmp55muaEg" </w:instrText>
      </w:r>
      <w:r>
        <w:rPr>
          <w:rFonts w:hint="eastAsia" w:ascii="仿宋_GB2312" w:hAnsi="仿宋_GB2312" w:eastAsia="仿宋_GB2312" w:cs="仿宋_GB2312"/>
          <w:sz w:val="28"/>
          <w:szCs w:val="28"/>
          <w:lang w:val="en-US" w:eastAsia="zh-CN"/>
        </w:rPr>
        <w:fldChar w:fldCharType="separate"/>
      </w:r>
      <w:r>
        <w:rPr>
          <w:rStyle w:val="5"/>
          <w:rFonts w:hint="eastAsia" w:ascii="仿宋_GB2312" w:hAnsi="仿宋_GB2312" w:eastAsia="仿宋_GB2312" w:cs="仿宋_GB2312"/>
          <w:sz w:val="28"/>
          <w:szCs w:val="28"/>
          <w:lang w:val="en-US" w:eastAsia="zh-CN"/>
        </w:rPr>
        <w:t>https://mp.weixin.qq.com/s/UzEcr0e82F_Bpmp55muaEg</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近期电动自行车起火事故频发，成为火灾“重灾区”给人们的生命财产安全造成重大损失。电动自行车作为短途出行交通工具，方便、节能，深受大家青睐。但由于部分人员安全意识淡薄，违规充电行为时有发生，致使涉及电动自行车事故频发，正确规范的使用行为是避免电动车火灾的关键，应在正规充电处充电，不在楼梯间、过道或者房间等处充电。</w:t>
      </w: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bookmarkStart w:id="0" w:name="_GoBack"/>
      <w:bookmarkEnd w:id="0"/>
    </w:p>
    <w:p>
      <w:pPr>
        <w:keepNext w:val="0"/>
        <w:keepLines w:val="0"/>
        <w:pageBreakBefore w:val="0"/>
        <w:widowControl w:val="0"/>
        <w:numPr>
          <w:ilvl w:val="0"/>
          <w:numId w:val="0"/>
        </w:numPr>
        <w:kinsoku/>
        <w:wordWrap w:val="0"/>
        <w:overflowPunct/>
        <w:topLinePunct w:val="0"/>
        <w:autoSpaceDE/>
        <w:autoSpaceDN/>
        <w:bidi w:val="0"/>
        <w:adjustRightInd/>
        <w:snapToGrid/>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kern w:val="2"/>
          <w:sz w:val="28"/>
          <w:szCs w:val="28"/>
          <w:lang w:val="en-US" w:eastAsia="zh-CN" w:bidi="ar-SA"/>
        </w:rPr>
        <w:t>四、</w:t>
      </w:r>
      <w:r>
        <w:rPr>
          <w:rFonts w:hint="eastAsia" w:ascii="仿宋_GB2312" w:hAnsi="仿宋_GB2312" w:eastAsia="仿宋_GB2312" w:cs="仿宋_GB2312"/>
          <w:b/>
          <w:bCs/>
          <w:sz w:val="28"/>
          <w:szCs w:val="28"/>
          <w:lang w:val="en-US" w:eastAsia="zh-CN"/>
        </w:rPr>
        <w:t>法治纪律教育</w:t>
      </w:r>
      <w:r>
        <w:rPr>
          <w:rFonts w:hint="eastAsia" w:ascii="仿宋_GB2312" w:hAnsi="仿宋_GB2312" w:eastAsia="仿宋_GB2312" w:cs="仿宋_GB2312"/>
          <w:sz w:val="28"/>
          <w:szCs w:val="28"/>
          <w:lang w:val="en-US" w:eastAsia="zh-CN"/>
        </w:rPr>
        <w:t>（参考链接：</w:t>
      </w:r>
      <w:r>
        <w:rPr>
          <w:rFonts w:hint="eastAsia" w:ascii="仿宋_GB2312" w:hAnsi="仿宋_GB2312" w:eastAsia="仿宋_GB2312" w:cs="仿宋_GB2312"/>
          <w:sz w:val="28"/>
          <w:szCs w:val="28"/>
          <w:lang w:val="en-US" w:eastAsia="zh-CN"/>
        </w:rPr>
        <w:fldChar w:fldCharType="begin"/>
      </w:r>
      <w:r>
        <w:rPr>
          <w:rFonts w:hint="eastAsia" w:ascii="仿宋_GB2312" w:hAnsi="仿宋_GB2312" w:eastAsia="仿宋_GB2312" w:cs="仿宋_GB2312"/>
          <w:sz w:val="28"/>
          <w:szCs w:val="28"/>
          <w:lang w:val="en-US" w:eastAsia="zh-CN"/>
        </w:rPr>
        <w:instrText xml:space="preserve"> HYPERLINK "https://mp.weixin.qq.com/s/25fP-8l42mkKRg9dEHeFZg" </w:instrText>
      </w:r>
      <w:r>
        <w:rPr>
          <w:rFonts w:hint="eastAsia" w:ascii="仿宋_GB2312" w:hAnsi="仿宋_GB2312" w:eastAsia="仿宋_GB2312" w:cs="仿宋_GB2312"/>
          <w:sz w:val="28"/>
          <w:szCs w:val="28"/>
          <w:lang w:val="en-US" w:eastAsia="zh-CN"/>
        </w:rPr>
        <w:fldChar w:fldCharType="separate"/>
      </w:r>
      <w:r>
        <w:rPr>
          <w:rStyle w:val="6"/>
          <w:rFonts w:hint="eastAsia" w:ascii="仿宋_GB2312" w:hAnsi="仿宋_GB2312" w:eastAsia="仿宋_GB2312" w:cs="仿宋_GB2312"/>
          <w:sz w:val="28"/>
          <w:szCs w:val="28"/>
          <w:lang w:val="en-US" w:eastAsia="zh-CN"/>
        </w:rPr>
        <w:t>https://mp.weixin.qq.com/s/25fP-8l42mkKRg9dEHeFZg</w:t>
      </w:r>
      <w:r>
        <w:rPr>
          <w:rFonts w:hint="eastAsia" w:ascii="仿宋_GB2312" w:hAnsi="仿宋_GB2312" w:eastAsia="仿宋_GB2312" w:cs="仿宋_GB2312"/>
          <w:sz w:val="28"/>
          <w:szCs w:val="28"/>
          <w:lang w:val="en-US" w:eastAsia="zh-CN"/>
        </w:rPr>
        <w:fldChar w:fldCharType="end"/>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为贯彻落实习近平总书记关于全面加强国家安全教育的重要指示精神，增强全民国家安全意识和法治意识，努力使尊法学法守法用法在全社会蔚然成风。充分利用传统有效的普法方式基础上，注重运用新媒体新技术，使用优质普法作品，强化互动化传播、沉浸式体验，让正能量产生大流量，调动学生积极性，让学生对法律知识听得懂、记得住、用得上。</w:t>
      </w: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Style w:val="6"/>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《暨南大学学生违纪处分办法（试行）》</w:t>
      </w:r>
      <w:r>
        <w:rPr>
          <w:rStyle w:val="6"/>
          <w:rFonts w:hint="eastAsia" w:ascii="仿宋_GB2312" w:hAnsi="仿宋_GB2312" w:eastAsia="仿宋_GB2312" w:cs="仿宋_GB2312"/>
          <w:sz w:val="28"/>
          <w:szCs w:val="28"/>
          <w:lang w:val="en-US" w:eastAsia="zh-CN"/>
        </w:rPr>
        <w:t>https://xsc.jnu.edu.cn/2022/0624/c5834a707259/page.htm</w:t>
      </w: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ind w:firstLine="560" w:firstLineChars="200"/>
        <w:textAlignment w:val="auto"/>
        <w:rPr>
          <w:rFonts w:hint="eastAsia" w:ascii="仿宋_GB2312" w:hAnsi="仿宋_GB2312" w:eastAsia="仿宋_GB2312" w:cs="仿宋_GB2312"/>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embedRegular r:id="rId1" w:fontKey="{43F286B4-E733-4EAA-B859-45E6F730231A}"/>
  </w:font>
  <w:font w:name="方正小标宋简体">
    <w:panose1 w:val="02000000000000000000"/>
    <w:charset w:val="86"/>
    <w:family w:val="auto"/>
    <w:pitch w:val="default"/>
    <w:sig w:usb0="00000001" w:usb1="080E0000" w:usb2="00000000" w:usb3="00000000" w:csb0="00040000" w:csb1="00000000"/>
    <w:embedRegular r:id="rId2" w:fontKey="{6EC6309A-1165-411C-8912-579563E4336D}"/>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OGZkZTk2NGUyYjA3ZTA1YjE0MTM1MTg0OGY0NTYifQ=="/>
  </w:docVars>
  <w:rsids>
    <w:rsidRoot w:val="40C63A93"/>
    <w:rsid w:val="1F306405"/>
    <w:rsid w:val="40C63A93"/>
    <w:rsid w:val="42C83636"/>
    <w:rsid w:val="47D169BB"/>
    <w:rsid w:val="50ED7D32"/>
    <w:rsid w:val="686D1874"/>
    <w:rsid w:val="6F4A7552"/>
    <w:rsid w:val="7C212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character" w:styleId="5">
    <w:name w:val="FollowedHyperlink"/>
    <w:basedOn w:val="4"/>
    <w:uiPriority w:val="0"/>
    <w:rPr>
      <w:color w:val="800080"/>
      <w:u w:val="single"/>
    </w:rPr>
  </w:style>
  <w:style w:type="character" w:styleId="6">
    <w:name w:val="Hyperlink"/>
    <w:basedOn w:val="4"/>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2024-03-18T06:35:00Z</dcterms:created>
  <dc:creator>czy</dc:creator>
  <cp:lastModifiedBy>夕</cp:lastModifiedBy>
  <dcterms:modified xsi:type="dcterms:W3CDTF">2024-03-18T09:51:31Z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6AC23B962D3D44B6A44E5CC1F6A13772_11</vt:lpwstr>
  </property>
</Properties>
</file>